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Bold" w:hAnsi="Klavika-Bold" w:cs="Klavika-Bold"/>
          <w:b/>
          <w:bCs/>
          <w:color w:val="000000"/>
          <w:sz w:val="28"/>
          <w:szCs w:val="28"/>
        </w:rPr>
      </w:pPr>
      <w:r>
        <w:rPr>
          <w:rFonts w:ascii="Klavika-Bold" w:hAnsi="Klavika-Bold" w:cs="Klavika-Bold"/>
          <w:b/>
          <w:bCs/>
          <w:color w:val="000000"/>
          <w:sz w:val="28"/>
          <w:szCs w:val="28"/>
        </w:rPr>
        <w:t>Charakterystyczne symptomy specyficznych trudności w uczeniu się matematyki, które można rozpoznać u uczniów w wieku szkolnym, przejawiające się w różnych sferach ich aktywności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Bold" w:hAnsi="Klavika-Bold" w:cs="Klavika-Bold"/>
          <w:b/>
          <w:bCs/>
          <w:color w:val="000000"/>
        </w:rPr>
      </w:pPr>
      <w:r>
        <w:rPr>
          <w:rFonts w:ascii="Klavika-Bold" w:hAnsi="Klavika-Bold" w:cs="Klavika-Bold"/>
          <w:b/>
          <w:bCs/>
          <w:color w:val="000000"/>
        </w:rPr>
        <w:t xml:space="preserve"> 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Bold" w:hAnsi="Klavika-Bold" w:cs="Klavika-Bold"/>
          <w:b/>
          <w:bCs/>
          <w:color w:val="000000"/>
        </w:rPr>
      </w:pPr>
      <w:r>
        <w:rPr>
          <w:rFonts w:ascii="Klavika-Bold" w:hAnsi="Klavika-Bold" w:cs="Klavika-Bold"/>
          <w:b/>
          <w:bCs/>
          <w:color w:val="000000"/>
        </w:rPr>
        <w:t>Sfery aktywności ucznia: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000000"/>
        </w:rPr>
        <w:t>1. Czytanie i rozumienie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000000"/>
        </w:rPr>
        <w:t>2. Pisanie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000000"/>
        </w:rPr>
        <w:t>3. Rozumienie pojęć i symboli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000000"/>
        </w:rPr>
        <w:t xml:space="preserve">4. Przyswajanie faktów matematycznych i </w:t>
      </w:r>
      <w:proofErr w:type="spellStart"/>
      <w:r>
        <w:rPr>
          <w:rFonts w:ascii="Klavika-Regular" w:hAnsi="Klavika-Regular" w:cs="Klavika-Regular"/>
          <w:color w:val="000000"/>
        </w:rPr>
        <w:t>sekwencjonowanie</w:t>
      </w:r>
      <w:proofErr w:type="spellEnd"/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000000"/>
        </w:rPr>
        <w:t>5. Myślenie złożone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000000"/>
        </w:rPr>
        <w:t>6. Postawa społeczna i emocjonalna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Medium" w:hAnsi="Klavika-Medium" w:cs="Klavika-Medium"/>
          <w:color w:val="FFFFFF"/>
          <w:sz w:val="28"/>
          <w:szCs w:val="28"/>
        </w:rPr>
      </w:pPr>
      <w:r>
        <w:rPr>
          <w:rFonts w:ascii="Klavika-Medium" w:hAnsi="Klavika-Medium" w:cs="Klavika-Medium"/>
          <w:color w:val="FFFFFF"/>
          <w:sz w:val="28"/>
          <w:szCs w:val="28"/>
        </w:rPr>
        <w:t>DOWIEDZ SIĘ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Bold" w:hAnsi="Klavika-Bold" w:cs="Klavika-Bold"/>
          <w:b/>
          <w:bCs/>
          <w:color w:val="000000"/>
        </w:rPr>
      </w:pPr>
      <w:r>
        <w:rPr>
          <w:rFonts w:ascii="Klavika-Bold" w:hAnsi="Klavika-Bold" w:cs="Klavika-Bold"/>
          <w:b/>
          <w:bCs/>
          <w:color w:val="000000"/>
        </w:rPr>
        <w:t>Sfera aktywności: czytanie i rozumienie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 xml:space="preserve">trudności ze zrozumieniem języka matematycznego, nawet przy dobrej umiejętności czytania, 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kłopoty z rozwiązaniem nawet niezbyt złożonych zadań tekstowych wynikające z niskiej sprawności czytania oraz rozumienia samodzielnie czytanych tekstów,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zapominanie podczas czytania długiego zadania, co było na początku,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błędne odczytywanie podobnie wyglądających liczb (6–9, 3–8),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„pomijanie” przestrzeni między liczbami (9 17 odczytane jako dziewięćset siedemnaście),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trudności w rozpoznawaniu, a w konsekwencji w używaniu symboli związanych z obliczeniami (symboli dodawania, odejmowania, mnożenia i dzielenia),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trudności w czytaniu liczb wielocyfrowych, w szczególności liczb, w których występuje zero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000000"/>
        </w:rPr>
        <w:t>(3006, 7068),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błędne odczytywanie liczb (13 czytane jako 31); zdarza się, że dziecko poprawnie przeczyta niektóre liczby, a inne odczyta od tyłu,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trudności w odczytywaniu wyników pomiarów,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trudności w czytaniu map, wykresów i tabel,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problem w dekodowaniu, porządkowaniu informacji, rozumieniu pojęć matematycznych, prowadzeniu uporządkowanych procesów matematycznych (uczeń wymaga ukierunkowania w zadaniach z treścią).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Bold" w:hAnsi="Klavika-Bold" w:cs="Klavika-Bold"/>
          <w:b/>
          <w:bCs/>
          <w:color w:val="000000"/>
        </w:rPr>
      </w:pPr>
      <w:r>
        <w:rPr>
          <w:rFonts w:ascii="Klavika-Bold" w:hAnsi="Klavika-Bold" w:cs="Klavika-Bold"/>
          <w:b/>
          <w:bCs/>
          <w:color w:val="000000"/>
        </w:rPr>
        <w:t>Sfera aktywności: pisanie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problemy z kopiowaniem liczb, obliczeń lub figur geometrycznych z zestawu obrazków,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problemy z przywoływaniem z pamięci liczb, obliczeń, kształtów geometrycznych,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trudności z zapamiętaniem, w jaki sposób liczby są zapisywane (w tym przypadku łatwiejsze dla ucznia może być zapisanie liczb literami),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trudności z zapamiętaniem, jak zapisywane są symbole matematyczne (+ lub -),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niemożność poprawnego zapisania liczby zawierającej więcej niż jedną cyfrę (pomijanie zera – dwa tysiące pięć zapisane jest jako 205, przestawianie kolejności cyfr w zapisywanej liczbie – osiemdziesiąt jeden zapisane jest z ósemką na początku, dzielenie liczby na części składowe – zapisanie liczby 4537 jako 4000, 500, 30, 7),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problemy z przeprowadzaniem operacji w odmiennych kierunkach (zaczynanie od prawej strony w dodawaniu, odejmowaniu, mnożeniu, a od lewej w dzieleniu),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brzydkie pismo utrudniające precyzyjny zapis, a co za tym idzie wykonywanie działań.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Bold" w:hAnsi="Klavika-Bold" w:cs="Klavika-Bold"/>
          <w:b/>
          <w:bCs/>
          <w:color w:val="000000"/>
        </w:rPr>
      </w:pPr>
      <w:r>
        <w:rPr>
          <w:rFonts w:ascii="Klavika-Bold" w:hAnsi="Klavika-Bold" w:cs="Klavika-Bold"/>
          <w:b/>
          <w:bCs/>
          <w:color w:val="000000"/>
        </w:rPr>
        <w:lastRenderedPageBreak/>
        <w:t>Sfera aktywności ucznia: rozumienie pojęć i symboli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trudności w rozumieniu języka matematycznego i stosowaniu go (suma, licznik),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trudności z rozumieniem symboli matematycznych (trudności z zapamiętaniem, jak powinien być używany symbol +),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trudności z oceną miejsca dziesiętnego liczby,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problem z rozumieniem pojęć związanych z wagą, przestrzenią, kierunkiem i czasem,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problemy z odczytywaniem danych prezentowanych w układzie współrzędnych,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problemy w powiązaniu reprezentacji graficznej z wartością liczbową,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problemy z rozumieniem i odpowiadaniem ustnym lub pisemnym na zagadnienia prezentowane słowami, tekstem lub obrazem,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problemy z rozumieniem pojęć: dużo, więcej, najwięcej,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problemy z rozumieniem pojęcia ilości, jeśli liczby są używane w połączeniu z jednostkami (100 metrów),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problemy z relacjami między jednostkami miar (np. z zależnościami między centymetrami, metrami i kilometrami),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trudności z powiązaniem terminów matematycznych z ich skrótami (centymetr – cm),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mylenie, w trakcie rozwiązywania zadania, jednostek danej miary (np. metrów i centymetrów),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zapominanie wzorów (np. do obliczeń pól i obwodów figur),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trudności z rozpoznawaniem skrótów (cm</w:t>
      </w:r>
      <w:r>
        <w:rPr>
          <w:rFonts w:ascii="Klavika-Regular" w:hAnsi="Klavika-Regular" w:cs="Klavika-Regular"/>
          <w:color w:val="000000"/>
          <w:sz w:val="13"/>
          <w:szCs w:val="13"/>
        </w:rPr>
        <w:t>2</w:t>
      </w:r>
      <w:r>
        <w:rPr>
          <w:rFonts w:ascii="Klavika-Regular" w:hAnsi="Klavika-Regular" w:cs="Klavika-Regular"/>
          <w:color w:val="000000"/>
        </w:rPr>
        <w:t>, cm</w:t>
      </w:r>
      <w:r>
        <w:rPr>
          <w:rFonts w:ascii="Klavika-Regular" w:hAnsi="Klavika-Regular" w:cs="Klavika-Regular"/>
          <w:color w:val="000000"/>
          <w:sz w:val="13"/>
          <w:szCs w:val="13"/>
        </w:rPr>
        <w:t>3</w:t>
      </w:r>
      <w:r>
        <w:rPr>
          <w:rFonts w:ascii="Klavika-Regular" w:hAnsi="Klavika-Regular" w:cs="Klavika-Regular"/>
          <w:color w:val="000000"/>
        </w:rPr>
        <w:t>),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zapominanie, co oznacza dany skrót w podanym wzorze,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problemy z zastosowaniem matematyki w zadaniach praktycznych,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kłopoty z obliczaniem sposobem pisemnym (uczeń oblicza najpierw wielkie liczby, spóźnia się z drugim dodawaniem w słupku, zapomina sumy i powtarza pracę, zaczyna od obliczania dziesiątek),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problemy z odejmowaniem (kłopoty z zerem w odjemnej lub odjemniku, kłopoty z pożyczaniem, uczeń nie bierze pod uwagę pożyczania, nie pożycza, ale jako odpowiedź daje zero, pożycza, nawet jeżeli to nie jest konieczne, błędy dotyczące odjemnej i odjemnika są te same, odlicza odjemną od odjemnika, omija jedną lub więcej dziesiątek),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trudności z mnożeniem (problemy z zerem w mnożniku lub mnożnej, błędy w przenoszeniu, błędy w dodawaniu wyników częściowych, uczeń myli wyniki w mnożeniu liczb o większej ilości miejsc, opuszcza cyfry, błędy w pozycji wyników częściowych),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problemy z dzieleniem (problemy z resztą, problemy z zerem w dzielnej lub dzielniku, kłopoty z dzielnikiem, uczeń liczy obok, aby otrzymać dzielnik, wyprowadza dzielnik z jednego przypadku).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Bold" w:hAnsi="Klavika-Bold" w:cs="Klavika-Bold"/>
          <w:b/>
          <w:bCs/>
          <w:color w:val="000000"/>
        </w:rPr>
      </w:pPr>
      <w:r>
        <w:rPr>
          <w:rFonts w:ascii="Klavika-Bold" w:hAnsi="Klavika-Bold" w:cs="Klavika-Bold"/>
          <w:b/>
          <w:bCs/>
          <w:color w:val="000000"/>
        </w:rPr>
        <w:t xml:space="preserve"> 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Bold" w:hAnsi="Klavika-Bold" w:cs="Klavika-Bold"/>
          <w:b/>
          <w:bCs/>
          <w:color w:val="000000"/>
        </w:rPr>
      </w:pP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Bold" w:hAnsi="Klavika-Bold" w:cs="Klavika-Bold"/>
          <w:b/>
          <w:bCs/>
          <w:color w:val="000000"/>
        </w:rPr>
      </w:pPr>
      <w:r>
        <w:rPr>
          <w:rFonts w:ascii="Klavika-Bold" w:hAnsi="Klavika-Bold" w:cs="Klavika-Bold"/>
          <w:b/>
          <w:bCs/>
          <w:color w:val="000000"/>
        </w:rPr>
        <w:t xml:space="preserve">Sfera aktywności ucznia: przyswajanie faktów matematycznych i </w:t>
      </w:r>
      <w:proofErr w:type="spellStart"/>
      <w:r>
        <w:rPr>
          <w:rFonts w:ascii="Klavika-Bold" w:hAnsi="Klavika-Bold" w:cs="Klavika-Bold"/>
          <w:b/>
          <w:bCs/>
          <w:color w:val="000000"/>
        </w:rPr>
        <w:t>sekwencjonowanie</w:t>
      </w:r>
      <w:proofErr w:type="spellEnd"/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trudności z uszeregowaniem liczb ze względu na wartość – rosnąco lub malejąco (12 poprzedza 13, czy następuje po 13?),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problemy z sekwencjami liczb (uczeń nie może do razu (automatycznie) stwierdzić, że 74 to o pięć więcej od 69, nie potrafi umieścić w szeregu liczbowym 8 i 27, liczy na palcach),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  <w:sz w:val="24"/>
          <w:szCs w:val="24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  <w:sz w:val="24"/>
          <w:szCs w:val="24"/>
        </w:rPr>
        <w:t>problemy z zapamiętywaniem prostych faktów liczbowych (np. tabliczki mnożenia),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  <w:sz w:val="24"/>
          <w:szCs w:val="24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  <w:sz w:val="24"/>
          <w:szCs w:val="24"/>
        </w:rPr>
        <w:t>problemy z pamięciowym liczeniem (słaba pamięć krótkotrwała), uczeń traci z pamięci istotne liczby, używane w obliczeniach,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  <w:sz w:val="24"/>
          <w:szCs w:val="24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  <w:sz w:val="24"/>
          <w:szCs w:val="24"/>
        </w:rPr>
        <w:t>problemy z liczeniem wstecz (np. co cztery, zaczynając od 100),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  <w:sz w:val="24"/>
          <w:szCs w:val="24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  <w:sz w:val="24"/>
          <w:szCs w:val="24"/>
        </w:rPr>
        <w:t>potrzeba liczenia na palcach, by poradzić sobie z prostymi obliczeniami,</w:t>
      </w:r>
    </w:p>
    <w:p w:rsidR="00B6445D" w:rsidRDefault="00B6445D" w:rsidP="00B6445D">
      <w:pPr>
        <w:rPr>
          <w:rFonts w:ascii="Klavika-Regular" w:hAnsi="Klavika-Regular" w:cs="Klavika-Regular"/>
          <w:color w:val="000000"/>
          <w:sz w:val="24"/>
          <w:szCs w:val="24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lastRenderedPageBreak/>
        <w:t xml:space="preserve">• </w:t>
      </w:r>
      <w:r>
        <w:rPr>
          <w:rFonts w:ascii="Klavika-Regular" w:hAnsi="Klavika-Regular" w:cs="Klavika-Regular"/>
          <w:color w:val="000000"/>
          <w:sz w:val="24"/>
          <w:szCs w:val="24"/>
        </w:rPr>
        <w:t>trudności z wyobrażeniem sobie treści zadań tekstowych, brak zdolności do rozumienia symboli graficznych, które reprezentują cyfry (uczeń ma trudności z oderwaniem się od konkretów i posługiwaniem się reprezentantami symbolicznymi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  <w:sz w:val="24"/>
          <w:szCs w:val="24"/>
        </w:rPr>
      </w:pPr>
      <w:r>
        <w:rPr>
          <w:rFonts w:ascii="Klavika-Regular" w:hAnsi="Klavika-Regular" w:cs="Klavika-Regular"/>
          <w:color w:val="000000"/>
          <w:sz w:val="24"/>
          <w:szCs w:val="24"/>
        </w:rPr>
        <w:t>w zakresie pojęć liczbowych, działań matematycznych oraz schematów graficznych),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  <w:sz w:val="24"/>
          <w:szCs w:val="24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  <w:sz w:val="24"/>
          <w:szCs w:val="24"/>
        </w:rPr>
        <w:t>jeszcze w klasie III uczeń liczy na palcach, nie może opanować tabliczki mnożenia, odpytywany na wyrywki bardzo długo się zastanawia nad odpowiedzią, często powtarzając bezmyślnie kilkakrotnie: 3 : 5, 3 : 5, 3 : 5...,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  <w:sz w:val="24"/>
          <w:szCs w:val="24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  <w:sz w:val="24"/>
          <w:szCs w:val="24"/>
        </w:rPr>
        <w:t>wolne tempo lub częste błędy w wykonywaniu prostych operacji rachunkowych w pamięci,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  <w:sz w:val="24"/>
          <w:szCs w:val="24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  <w:sz w:val="24"/>
          <w:szCs w:val="24"/>
        </w:rPr>
        <w:t>częste mylenie kolejnych przycisków w kalkulatorze (pamięć sekwencyjna).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Bold" w:hAnsi="Klavika-Bold" w:cs="Klavika-Bold"/>
          <w:b/>
          <w:bCs/>
          <w:color w:val="000000"/>
        </w:rPr>
      </w:pP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Bold" w:hAnsi="Klavika-Bold" w:cs="Klavika-Bold"/>
          <w:b/>
          <w:bCs/>
          <w:color w:val="000000"/>
        </w:rPr>
      </w:pP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Bold" w:hAnsi="Klavika-Bold" w:cs="Klavika-Bold"/>
          <w:b/>
          <w:bCs/>
          <w:color w:val="000000"/>
        </w:rPr>
      </w:pPr>
      <w:r>
        <w:rPr>
          <w:rFonts w:ascii="Klavika-Bold" w:hAnsi="Klavika-Bold" w:cs="Klavika-Bold"/>
          <w:b/>
          <w:bCs/>
          <w:color w:val="000000"/>
        </w:rPr>
        <w:t>Sfera aktywności ucznia: myślenie złożone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sztywność w myśleniu objawiająca się niemożnością wybrania właściwej strategii w rozwiązywaniu problemów i w zamianie strategii na inną, jeśli uprzednio wybrana jest nieskuteczna,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problemy z następstwem kolejnych kroków w zadaniach matematycznych,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problemy z rozsądnym oszacowaniem (np. przy ocenie wymiarów w celu wykonania przybliżonych obliczeń i osiągnięcia rozsądnych odpowiedzi),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trudności z utrzymaniem jednego ciągu myśli podczas rozwiązywania problemów matematycznych, włączając w to pozostanie wiernym właściwej strategii,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trudności z planowaniem (problemy z zaplanowaniem rozwiązania zadania przed faktycznym przystąpieniem do rozwiązania),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problemy z przechodzeniem z poziomu konkretów na poziom abstrakcyjnego myślenia; zauważa się to w sytuacji przechodzenia od konkretnych przedmiotów do symboli matematycznych,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problemy z rozumieniem pojęć matematycznych, znaków i symboli niezbędnych do wykonywania operacji na liczbach,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trudności z wykonywaniem czterech podstawowych działań arytmetycznych,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 xml:space="preserve">problemy z rozumieniem ułamków zwykłych, odczytywaniem i zapisem ułamków dziesiętnych, 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trudności z wyobrażeniem sobie treści zadań tekstowych,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trudności z doborem odpowiedniej operacji matematycznej w celu rozwiązania zadania (dziecko wykonuje operację tylko wtedy, kiedy jest ona wyraźnie określona),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trudności z zapamiętaniem operacji potrzebnych do wykonania zadania,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brak umiejętności posługiwania się pojęciami matematycznymi,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obniżona zdolność identyfikowania liczb z pisemnymi symbolami (dzieci mogą dobrze liczyć, ale nie potrafią odczytać liczb),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uczeń może zupełnie dobrze opanować dodawanie i mnożenie (pomaga sobie palcami), ale ma kłopoty z odejmowaniem i dzieleniem, z trudem opanowuje odejmowanie związane z przekroczeniem progu dziesiątkowego (37 - 19),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uczeń sztywno trzyma się pewnych reguł, np.: że mniejszą liczbę odejmuje się od większej i liczy następująco w zadaniu: 25 - 7, 7 - 5 = 2 (bo 5 jest mniejsze od 7), zatem: 25 - 7 = 22, nie rozumie, że 5 reprezentuje tu 15 (i reguła nadal działa: 15 - 7, bo 15 jest większe, a 7 mniejsze), ma więc</w:t>
      </w:r>
      <w:r w:rsidR="00EA34D6">
        <w:rPr>
          <w:rFonts w:ascii="Klavika-Regular" w:hAnsi="Klavika-Regular" w:cs="Klavika-Regular"/>
          <w:color w:val="000000"/>
        </w:rPr>
        <w:t xml:space="preserve"> </w:t>
      </w:r>
      <w:r>
        <w:rPr>
          <w:rFonts w:ascii="Klavika-Regular" w:hAnsi="Klavika-Regular" w:cs="Klavika-Regular"/>
          <w:color w:val="000000"/>
        </w:rPr>
        <w:t>spore trudności w podliczaniu, przestawia cyfry,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uczeń często dobrze rozumie problem i ustnie rozwiązuje go poprawnie, ale trudności pojawiają</w:t>
      </w:r>
      <w:r w:rsidR="00EA34D6">
        <w:rPr>
          <w:rFonts w:ascii="Klavika-Regular" w:hAnsi="Klavika-Regular" w:cs="Klavika-Regular"/>
          <w:color w:val="000000"/>
        </w:rPr>
        <w:t xml:space="preserve"> </w:t>
      </w:r>
      <w:r>
        <w:rPr>
          <w:rFonts w:ascii="Klavika-Regular" w:hAnsi="Klavika-Regular" w:cs="Klavika-Regular"/>
          <w:color w:val="000000"/>
        </w:rPr>
        <w:t>się, gdy ma to zapisać,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lastRenderedPageBreak/>
        <w:t xml:space="preserve">• </w:t>
      </w:r>
      <w:r>
        <w:rPr>
          <w:rFonts w:ascii="Klavika-Regular" w:hAnsi="Klavika-Regular" w:cs="Klavika-Regular"/>
          <w:color w:val="000000"/>
        </w:rPr>
        <w:t>trudności z opanowaniem rozmaitych reguł dotyczących na przykład kolejności działań, różnych</w:t>
      </w:r>
      <w:r w:rsidR="00EA34D6">
        <w:rPr>
          <w:rFonts w:ascii="Klavika-Regular" w:hAnsi="Klavika-Regular" w:cs="Klavika-Regular"/>
          <w:color w:val="000000"/>
        </w:rPr>
        <w:t xml:space="preserve"> </w:t>
      </w:r>
      <w:r>
        <w:rPr>
          <w:rFonts w:ascii="Klavika-Regular" w:hAnsi="Klavika-Regular" w:cs="Klavika-Regular"/>
          <w:color w:val="000000"/>
        </w:rPr>
        <w:t>ułatwień w liczeniu, sposobu rozwiązywania równania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trudności z rozwiązywaniem zadań tekstowych (ze zrozumieniem, o co w nim chodzi, trudności</w:t>
      </w:r>
      <w:r w:rsidR="00EA34D6">
        <w:rPr>
          <w:rFonts w:ascii="Klavika-Regular" w:hAnsi="Klavika-Regular" w:cs="Klavika-Regular"/>
          <w:color w:val="000000"/>
        </w:rPr>
        <w:t xml:space="preserve"> </w:t>
      </w:r>
      <w:r>
        <w:rPr>
          <w:rFonts w:ascii="Klavika-Regular" w:hAnsi="Klavika-Regular" w:cs="Klavika-Regular"/>
          <w:color w:val="000000"/>
        </w:rPr>
        <w:t>w werbalizowaniu swoich myśli – uczeń rozwiąże zadanie, ale nie potrafi opisać sposobu, w jaki</w:t>
      </w:r>
      <w:r w:rsidR="00EA34D6">
        <w:rPr>
          <w:rFonts w:ascii="Klavika-Regular" w:hAnsi="Klavika-Regular" w:cs="Klavika-Regular"/>
          <w:color w:val="000000"/>
        </w:rPr>
        <w:t xml:space="preserve"> </w:t>
      </w:r>
      <w:r>
        <w:rPr>
          <w:rFonts w:ascii="Klavika-Regular" w:hAnsi="Klavika-Regular" w:cs="Klavika-Regular"/>
          <w:color w:val="000000"/>
        </w:rPr>
        <w:t>to zrobił),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trudności z doborem odpowiedniej operacji matematycznej w celu rozwiązania zadania (uczeń</w:t>
      </w:r>
      <w:r w:rsidR="00EA34D6">
        <w:rPr>
          <w:rFonts w:ascii="Klavika-Regular" w:hAnsi="Klavika-Regular" w:cs="Klavika-Regular"/>
          <w:color w:val="000000"/>
        </w:rPr>
        <w:t xml:space="preserve"> </w:t>
      </w:r>
      <w:r>
        <w:rPr>
          <w:rFonts w:ascii="Klavika-Regular" w:hAnsi="Klavika-Regular" w:cs="Klavika-Regular"/>
          <w:color w:val="000000"/>
        </w:rPr>
        <w:t>wykonuje operację tylko wtedy, kiedy jest ona wyraźnie określona),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trudności z zapamiętaniem operacji potrzebnych do wykonania zadania,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brak umiejętności posługiwania się pojęciami matematycznymi,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uczeń potrafi zaproponować oryginalny sposób rozwiązania zadania, ale popełnia przy tym proste</w:t>
      </w:r>
      <w:r w:rsidR="00EA34D6">
        <w:rPr>
          <w:rFonts w:ascii="Klavika-Regular" w:hAnsi="Klavika-Regular" w:cs="Klavika-Regular"/>
          <w:color w:val="000000"/>
        </w:rPr>
        <w:t xml:space="preserve"> </w:t>
      </w:r>
      <w:r>
        <w:rPr>
          <w:rFonts w:ascii="Klavika-Regular" w:hAnsi="Klavika-Regular" w:cs="Klavika-Regular"/>
          <w:color w:val="000000"/>
        </w:rPr>
        <w:t>błędy rachunkowe; jest w stanie wykonać w pamięci skomplikowane mnożenie, jednak nie</w:t>
      </w:r>
      <w:r w:rsidR="00EA34D6">
        <w:rPr>
          <w:rFonts w:ascii="Klavika-Regular" w:hAnsi="Klavika-Regular" w:cs="Klavika-Regular"/>
          <w:color w:val="000000"/>
        </w:rPr>
        <w:t xml:space="preserve"> </w:t>
      </w:r>
      <w:r>
        <w:rPr>
          <w:rFonts w:ascii="Klavika-Regular" w:hAnsi="Klavika-Regular" w:cs="Klavika-Regular"/>
          <w:color w:val="000000"/>
        </w:rPr>
        <w:t>radzi sobie z prostymi działaniami pisemnymi,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trudności w zrozumieniu odwrotności działań rachunkowych.</w:t>
      </w:r>
    </w:p>
    <w:p w:rsidR="00EA34D6" w:rsidRDefault="00EA34D6" w:rsidP="00B6445D">
      <w:pPr>
        <w:autoSpaceDE w:val="0"/>
        <w:autoSpaceDN w:val="0"/>
        <w:adjustRightInd w:val="0"/>
        <w:spacing w:after="0" w:line="240" w:lineRule="auto"/>
        <w:rPr>
          <w:rFonts w:ascii="Klavika-Bold" w:hAnsi="Klavika-Bold" w:cs="Klavika-Bold"/>
          <w:b/>
          <w:bCs/>
          <w:color w:val="000000"/>
        </w:rPr>
      </w:pPr>
      <w:r>
        <w:rPr>
          <w:rFonts w:ascii="Klavika-Bold" w:hAnsi="Klavika-Bold" w:cs="Klavika-Bold"/>
          <w:b/>
          <w:bCs/>
          <w:color w:val="000000"/>
        </w:rPr>
        <w:t xml:space="preserve"> </w:t>
      </w:r>
    </w:p>
    <w:p w:rsidR="00EA34D6" w:rsidRDefault="00EA34D6" w:rsidP="00B6445D">
      <w:pPr>
        <w:autoSpaceDE w:val="0"/>
        <w:autoSpaceDN w:val="0"/>
        <w:adjustRightInd w:val="0"/>
        <w:spacing w:after="0" w:line="240" w:lineRule="auto"/>
        <w:rPr>
          <w:rFonts w:ascii="Klavika-Bold" w:hAnsi="Klavika-Bold" w:cs="Klavika-Bold"/>
          <w:b/>
          <w:bCs/>
          <w:color w:val="000000"/>
        </w:rPr>
      </w:pP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Bold" w:hAnsi="Klavika-Bold" w:cs="Klavika-Bold"/>
          <w:b/>
          <w:bCs/>
          <w:color w:val="000000"/>
        </w:rPr>
      </w:pPr>
      <w:r>
        <w:rPr>
          <w:rFonts w:ascii="Klavika-Bold" w:hAnsi="Klavika-Bold" w:cs="Klavika-Bold"/>
          <w:b/>
          <w:bCs/>
          <w:color w:val="000000"/>
        </w:rPr>
        <w:t>Sfera aktywności ucznia: postawa społeczna i emocjonalna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niepokój spowodowany wolniejszą pracą i popełnianiem większej ilości błędów niż inni,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lęk na samą myśl, że trzeba zająć się matematyką,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brak zaufania do własnych kompetencji matematycznych,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brak zaufania do poprawności swoich obliczeń, unikanie obliczeń przybliżonych i sprawdzania</w:t>
      </w:r>
      <w:r w:rsidR="00EA34D6">
        <w:rPr>
          <w:rFonts w:ascii="Klavika-Regular" w:hAnsi="Klavika-Regular" w:cs="Klavika-Regular"/>
          <w:color w:val="000000"/>
        </w:rPr>
        <w:t xml:space="preserve"> </w:t>
      </w:r>
      <w:r>
        <w:rPr>
          <w:rFonts w:ascii="Klavika-Regular" w:hAnsi="Klavika-Regular" w:cs="Klavika-Regular"/>
          <w:color w:val="000000"/>
        </w:rPr>
        <w:t>odpowiedzi,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częste rozwijanie strategii „wyuczonej bezradności”,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częste oddawanie prac, które są niestaranne, pomazane, niechlujne,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niechęć do pracy w grupie,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duża zmienność w wiedzy i w osiągnięciach (dobre i złe dni),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niska samoocena,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niechęć do sprawdzania pracy lub sprawdzanie nieskuteczne,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uczeń rozumieć temat na lekcji, jednak ma problemy w pracy domowej (trudności w zastosowaniu</w:t>
      </w:r>
      <w:r w:rsidR="00EA34D6">
        <w:rPr>
          <w:rFonts w:ascii="Klavika-Regular" w:hAnsi="Klavika-Regular" w:cs="Klavika-Regular"/>
          <w:color w:val="000000"/>
        </w:rPr>
        <w:t xml:space="preserve"> </w:t>
      </w:r>
      <w:r>
        <w:rPr>
          <w:rFonts w:ascii="Klavika-Regular" w:hAnsi="Klavika-Regular" w:cs="Klavika-Regular"/>
          <w:color w:val="000000"/>
        </w:rPr>
        <w:t>wiedzy poza lekcją matematyki).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Bold" w:hAnsi="Klavika-Bold" w:cs="Klavika-Bold"/>
          <w:b/>
          <w:bCs/>
          <w:color w:val="000000"/>
        </w:rPr>
      </w:pP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Bold" w:hAnsi="Klavika-Bold" w:cs="Klavika-Bold"/>
          <w:b/>
          <w:bCs/>
          <w:color w:val="000000"/>
        </w:rPr>
      </w:pP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Bold" w:hAnsi="Klavika-Bold" w:cs="Klavika-Bold"/>
          <w:b/>
          <w:bCs/>
          <w:color w:val="000000"/>
        </w:rPr>
      </w:pPr>
      <w:r>
        <w:rPr>
          <w:rFonts w:ascii="Klavika-Bold" w:hAnsi="Klavika-Bold" w:cs="Klavika-Bold"/>
          <w:b/>
          <w:bCs/>
          <w:color w:val="000000"/>
        </w:rPr>
        <w:t>Inne sfery aktywności ucznia (później osoby dorosłej)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000000"/>
        </w:rPr>
        <w:t>• awersja do jakichkolwiek gier, które wiążą się z cyframi lub przestrzennym kojarzeniem (domino,</w:t>
      </w:r>
      <w:r w:rsidR="00EA34D6">
        <w:rPr>
          <w:rFonts w:ascii="Klavika-Regular" w:hAnsi="Klavika-Regular" w:cs="Klavika-Regular"/>
          <w:color w:val="000000"/>
        </w:rPr>
        <w:t xml:space="preserve"> </w:t>
      </w:r>
      <w:r>
        <w:rPr>
          <w:rFonts w:ascii="Klavika-Regular" w:hAnsi="Klavika-Regular" w:cs="Klavika-Regular"/>
          <w:color w:val="000000"/>
        </w:rPr>
        <w:t>warcaby, szachy),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trudności z liczeniem w codziennym życiu (robienie zakupów, rozliczenie się z pieniędzy, posługiwanie</w:t>
      </w:r>
      <w:r w:rsidR="00EA34D6">
        <w:rPr>
          <w:rFonts w:ascii="Klavika-Regular" w:hAnsi="Klavika-Regular" w:cs="Klavika-Regular"/>
          <w:color w:val="000000"/>
        </w:rPr>
        <w:t xml:space="preserve"> </w:t>
      </w:r>
      <w:r>
        <w:rPr>
          <w:rFonts w:ascii="Klavika-Regular" w:hAnsi="Klavika-Regular" w:cs="Klavika-Regular"/>
          <w:color w:val="000000"/>
        </w:rPr>
        <w:t>się zegarkiem, wagą, mierzenie linijką),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błędy w wybieranym numerze telefonu,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kłopoty w podróżowaniu spowodowane złym odczytywaniem numerów autobusów, zapominaniem</w:t>
      </w:r>
      <w:r w:rsidR="00EA34D6">
        <w:rPr>
          <w:rFonts w:ascii="Klavika-Regular" w:hAnsi="Klavika-Regular" w:cs="Klavika-Regular"/>
          <w:color w:val="000000"/>
        </w:rPr>
        <w:t xml:space="preserve"> </w:t>
      </w:r>
      <w:r>
        <w:rPr>
          <w:rFonts w:ascii="Klavika-Regular" w:hAnsi="Klavika-Regular" w:cs="Klavika-Regular"/>
          <w:color w:val="000000"/>
        </w:rPr>
        <w:t>numerów dróg,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kłopoty z nauką wartości rytmicznych i nut,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trudności z zapamiętywaniem reguł gier sportowych, kroków tanecznych,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zakłócenia w wyobraźni przestrzennej,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mylenie stron i kierunków,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omijanie drobnych elementów graficznych różnych przedmiotów (niezauważanie detali),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błędy lokalizacyjne,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trudności z umiejscowieniem znaków i figur w przestrzeni,</w:t>
      </w:r>
    </w:p>
    <w:p w:rsidR="00B6445D" w:rsidRDefault="00B6445D" w:rsidP="00B6445D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color w:val="000000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t xml:space="preserve">• </w:t>
      </w:r>
      <w:r>
        <w:rPr>
          <w:rFonts w:ascii="Klavika-Regular" w:hAnsi="Klavika-Regular" w:cs="Klavika-Regular"/>
          <w:color w:val="000000"/>
        </w:rPr>
        <w:t>trudności z zadaniami geometrycznymi,</w:t>
      </w:r>
    </w:p>
    <w:p w:rsidR="00B6445D" w:rsidRPr="00B6445D" w:rsidRDefault="00B6445D" w:rsidP="00B6445D">
      <w:pPr>
        <w:rPr>
          <w:rFonts w:ascii="Klavika-Regular" w:hAnsi="Klavika-Regular" w:cs="Klavika-Regular"/>
          <w:color w:val="000000"/>
          <w:sz w:val="24"/>
          <w:szCs w:val="24"/>
        </w:rPr>
      </w:pPr>
      <w:r>
        <w:rPr>
          <w:rFonts w:ascii="Klavika-Regular" w:hAnsi="Klavika-Regular" w:cs="Klavika-Regular"/>
          <w:color w:val="EE7913"/>
          <w:sz w:val="28"/>
          <w:szCs w:val="28"/>
        </w:rPr>
        <w:lastRenderedPageBreak/>
        <w:t xml:space="preserve">• </w:t>
      </w:r>
      <w:r>
        <w:rPr>
          <w:rFonts w:ascii="Klavika-Regular" w:hAnsi="Klavika-Regular" w:cs="Klavika-Regular"/>
          <w:color w:val="000000"/>
        </w:rPr>
        <w:t>mylenie dni tygodnia, miesięcy.</w:t>
      </w:r>
    </w:p>
    <w:p w:rsidR="00B6445D" w:rsidRDefault="00B6445D" w:rsidP="00B6445D">
      <w:pPr>
        <w:rPr>
          <w:rFonts w:ascii="Klavika-Regular" w:hAnsi="Klavika-Regular" w:cs="Klavika-Regular"/>
          <w:color w:val="89BB20"/>
          <w:sz w:val="48"/>
          <w:szCs w:val="48"/>
        </w:rPr>
      </w:pPr>
    </w:p>
    <w:p w:rsidR="00B6445D" w:rsidRDefault="00EA34D6" w:rsidP="00EA34D6">
      <w:pPr>
        <w:autoSpaceDE w:val="0"/>
        <w:autoSpaceDN w:val="0"/>
        <w:adjustRightInd w:val="0"/>
        <w:spacing w:after="0" w:line="240" w:lineRule="auto"/>
      </w:pPr>
      <w:r>
        <w:rPr>
          <w:rFonts w:ascii="Klavika-Regular" w:hAnsi="Klavika-Regular" w:cs="Klavika-Regular"/>
          <w:color w:val="000000"/>
          <w:sz w:val="18"/>
          <w:szCs w:val="18"/>
        </w:rPr>
        <w:t>Materiały wykorzystane z kursu „Praca uczniem ze specyficznymi trudnościami w uczeniu się matematyki w klasach 4-6”</w:t>
      </w:r>
    </w:p>
    <w:sectPr w:rsidR="00B6445D" w:rsidSect="00771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Klavika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Klavika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Klavika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445D"/>
    <w:rsid w:val="00771CCC"/>
    <w:rsid w:val="00B6445D"/>
    <w:rsid w:val="00EA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8120B-C65A-4AA5-9351-40C9C13B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1616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2014-05-04T08:11:00Z</dcterms:created>
  <dcterms:modified xsi:type="dcterms:W3CDTF">2014-05-04T08:25:00Z</dcterms:modified>
</cp:coreProperties>
</file>